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7C618A26"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2D00A9">
        <w:rPr>
          <w:rFonts w:ascii="Times New Roman" w:hAnsi="Times New Roman" w:cs="Times New Roman"/>
          <w:b/>
          <w:sz w:val="34"/>
          <w:szCs w:val="34"/>
        </w:rPr>
        <w:t>novembri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5D95F56"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2D00A9">
        <w:rPr>
          <w:rFonts w:ascii="Times New Roman" w:hAnsi="Times New Roman" w:cs="Times New Roman"/>
          <w:sz w:val="24"/>
          <w:szCs w:val="24"/>
        </w:rPr>
        <w:t>novembrī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CC5DED">
        <w:rPr>
          <w:rFonts w:ascii="Times New Roman" w:eastAsia="Calibri" w:hAnsi="Times New Roman" w:cs="Times New Roman"/>
          <w:b/>
          <w:sz w:val="24"/>
          <w:szCs w:val="24"/>
        </w:rPr>
        <w:t>8</w:t>
      </w:r>
      <w:r w:rsidR="001760A0">
        <w:rPr>
          <w:rFonts w:ascii="Times New Roman" w:eastAsia="Calibri" w:hAnsi="Times New Roman" w:cs="Times New Roman"/>
          <w:b/>
          <w:sz w:val="24"/>
          <w:szCs w:val="24"/>
        </w:rPr>
        <w:t> </w:t>
      </w:r>
      <w:r w:rsidR="002D00A9">
        <w:rPr>
          <w:rFonts w:ascii="Times New Roman" w:eastAsia="Calibri" w:hAnsi="Times New Roman" w:cs="Times New Roman"/>
          <w:b/>
          <w:sz w:val="24"/>
          <w:szCs w:val="24"/>
        </w:rPr>
        <w:t>519</w:t>
      </w:r>
      <w:r w:rsidR="001760A0">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9B2B75">
        <w:rPr>
          <w:rFonts w:ascii="Times New Roman" w:eastAsia="Calibri" w:hAnsi="Times New Roman" w:cs="Times New Roman"/>
          <w:sz w:val="24"/>
          <w:szCs w:val="24"/>
        </w:rPr>
        <w:t>a</w:t>
      </w:r>
      <w:r w:rsidRPr="00B55425">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07DE6A4C" w:rsidR="008642C5" w:rsidRDefault="00BF68D6" w:rsidP="00BF68D6">
      <w:pPr>
        <w:pStyle w:val="Bezatstarpm"/>
        <w:ind w:left="-567" w:right="-625"/>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D43A67" wp14:editId="4A52BCF7">
            <wp:extent cx="6419850" cy="2778028"/>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2786" cy="2787953"/>
                    </a:xfrm>
                    <a:prstGeom prst="rect">
                      <a:avLst/>
                    </a:prstGeom>
                    <a:noFill/>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8D8D91C" w:rsidR="002D0FC3" w:rsidRDefault="002D0FC3" w:rsidP="00956C2F">
      <w:pPr>
        <w:pStyle w:val="Bezatstarpm"/>
        <w:ind w:right="-625"/>
        <w:jc w:val="both"/>
        <w:rPr>
          <w:rFonts w:ascii="Times New Roman" w:eastAsia="Calibri" w:hAnsi="Times New Roman" w:cs="Times New Roman"/>
          <w:sz w:val="24"/>
          <w:szCs w:val="24"/>
        </w:rPr>
      </w:pPr>
    </w:p>
    <w:p w14:paraId="3537D3DF" w14:textId="117A48EE" w:rsidR="001710BC" w:rsidRDefault="00BF68D6" w:rsidP="00BF68D6">
      <w:pPr>
        <w:pStyle w:val="Bezatstarpm"/>
        <w:ind w:left="-567" w:right="-625"/>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95110B1" wp14:editId="32B2D3F6">
            <wp:extent cx="6450330" cy="296291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0330" cy="2962910"/>
                    </a:xfrm>
                    <a:prstGeom prst="rect">
                      <a:avLst/>
                    </a:prstGeom>
                    <a:noFill/>
                  </pic:spPr>
                </pic:pic>
              </a:graphicData>
            </a:graphic>
          </wp:inline>
        </w:drawing>
      </w: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1CFEAE89" w:rsidR="003B176E" w:rsidRDefault="003B176E" w:rsidP="00DD194C">
      <w:pPr>
        <w:pStyle w:val="Bezatstarpm"/>
        <w:ind w:right="-625" w:firstLine="567"/>
        <w:jc w:val="center"/>
        <w:rPr>
          <w:rFonts w:ascii="Times New Roman" w:hAnsi="Times New Roman" w:cs="Times New Roman"/>
          <w:b/>
          <w:sz w:val="28"/>
          <w:szCs w:val="28"/>
        </w:rPr>
      </w:pPr>
    </w:p>
    <w:p w14:paraId="717A9189" w14:textId="062E37D3" w:rsidR="00CC5DED" w:rsidRDefault="00CC5DED" w:rsidP="00DD194C">
      <w:pPr>
        <w:pStyle w:val="Bezatstarpm"/>
        <w:ind w:right="-625" w:firstLine="567"/>
        <w:jc w:val="center"/>
        <w:rPr>
          <w:rFonts w:ascii="Times New Roman" w:hAnsi="Times New Roman" w:cs="Times New Roman"/>
          <w:b/>
          <w:sz w:val="28"/>
          <w:szCs w:val="28"/>
        </w:rPr>
      </w:pPr>
    </w:p>
    <w:p w14:paraId="3620414A" w14:textId="24AA3519" w:rsidR="00CC5DED" w:rsidRDefault="00CC5DED" w:rsidP="00DD194C">
      <w:pPr>
        <w:pStyle w:val="Bezatstarpm"/>
        <w:ind w:right="-625" w:firstLine="567"/>
        <w:jc w:val="center"/>
        <w:rPr>
          <w:rFonts w:ascii="Times New Roman" w:hAnsi="Times New Roman" w:cs="Times New Roman"/>
          <w:b/>
          <w:sz w:val="28"/>
          <w:szCs w:val="28"/>
        </w:rPr>
      </w:pPr>
    </w:p>
    <w:p w14:paraId="30C3B342" w14:textId="752176B7" w:rsidR="00CE1096" w:rsidRDefault="00CE1096" w:rsidP="00DD194C">
      <w:pPr>
        <w:pStyle w:val="Bezatstarpm"/>
        <w:ind w:right="-625" w:firstLine="567"/>
        <w:jc w:val="center"/>
        <w:rPr>
          <w:rFonts w:ascii="Times New Roman" w:hAnsi="Times New Roman" w:cs="Times New Roman"/>
          <w:b/>
          <w:sz w:val="28"/>
          <w:szCs w:val="28"/>
        </w:rPr>
      </w:pPr>
    </w:p>
    <w:p w14:paraId="1FD437BA" w14:textId="77777777" w:rsidR="00BF68D6" w:rsidRDefault="00BF68D6"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2C13DBC5"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2D00A9">
        <w:rPr>
          <w:rFonts w:ascii="Times New Roman" w:hAnsi="Times New Roman" w:cs="Times New Roman"/>
          <w:sz w:val="24"/>
          <w:szCs w:val="24"/>
        </w:rPr>
        <w:t>novembrī</w:t>
      </w:r>
      <w:r w:rsidR="008A760F">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CC5DED">
        <w:rPr>
          <w:rFonts w:ascii="Times New Roman" w:eastAsia="Calibri" w:hAnsi="Times New Roman" w:cs="Times New Roman"/>
          <w:b/>
          <w:sz w:val="24"/>
          <w:szCs w:val="24"/>
        </w:rPr>
        <w:t>3</w:t>
      </w:r>
      <w:r w:rsidR="001760A0">
        <w:rPr>
          <w:rFonts w:ascii="Times New Roman" w:eastAsia="Calibri" w:hAnsi="Times New Roman" w:cs="Times New Roman"/>
          <w:b/>
          <w:sz w:val="24"/>
          <w:szCs w:val="24"/>
        </w:rPr>
        <w:t xml:space="preserve">8 </w:t>
      </w:r>
      <w:r w:rsidR="002D00A9">
        <w:rPr>
          <w:rFonts w:ascii="Times New Roman" w:eastAsia="Calibri" w:hAnsi="Times New Roman" w:cs="Times New Roman"/>
          <w:b/>
          <w:sz w:val="24"/>
          <w:szCs w:val="24"/>
        </w:rPr>
        <w:t>259</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65DE748B" w:rsidR="006640CC" w:rsidRDefault="00BF68D6" w:rsidP="00BF68D6">
      <w:pPr>
        <w:pStyle w:val="Bezatstarpm"/>
        <w:ind w:left="-426" w:right="-625"/>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DBBE623" wp14:editId="0A07BCB0">
            <wp:extent cx="6443980" cy="288353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2883535"/>
                    </a:xfrm>
                    <a:prstGeom prst="rect">
                      <a:avLst/>
                    </a:prstGeom>
                    <a:noFill/>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398E8C1A"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2D00A9">
        <w:rPr>
          <w:rFonts w:ascii="Times New Roman" w:hAnsi="Times New Roman" w:cs="Times New Roman"/>
          <w:sz w:val="24"/>
          <w:szCs w:val="24"/>
        </w:rPr>
        <w:t>novembrī</w:t>
      </w:r>
      <w:r w:rsidR="008A760F">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2D00A9">
        <w:rPr>
          <w:rFonts w:ascii="Times New Roman" w:eastAsia="Calibri" w:hAnsi="Times New Roman" w:cs="Times New Roman"/>
          <w:b/>
          <w:sz w:val="24"/>
          <w:szCs w:val="24"/>
        </w:rPr>
        <w:t>722</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23B9B995" w:rsidR="006640CC" w:rsidRPr="005B79C9" w:rsidRDefault="00BF68D6" w:rsidP="00F23434">
      <w:pPr>
        <w:pStyle w:val="Bezatstarpm"/>
        <w:ind w:left="-426" w:right="-105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BDAB810" wp14:editId="68386C85">
            <wp:extent cx="6429375" cy="283374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1297" cy="2834587"/>
                    </a:xfrm>
                    <a:prstGeom prst="rect">
                      <a:avLst/>
                    </a:prstGeom>
                    <a:noFill/>
                  </pic:spPr>
                </pic:pic>
              </a:graphicData>
            </a:graphic>
          </wp:inline>
        </w:drawing>
      </w:r>
    </w:p>
    <w:p w14:paraId="384D26B3" w14:textId="7AC5F268"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3B525A13" w:rsidR="003B176E" w:rsidRDefault="003B176E" w:rsidP="00DD194C">
      <w:pPr>
        <w:pStyle w:val="Bezatstarpm"/>
        <w:ind w:left="-851" w:right="-1050" w:firstLine="1418"/>
        <w:jc w:val="center"/>
        <w:rPr>
          <w:rFonts w:ascii="Times New Roman" w:hAnsi="Times New Roman" w:cs="Times New Roman"/>
          <w:b/>
          <w:sz w:val="28"/>
          <w:szCs w:val="28"/>
        </w:rPr>
      </w:pPr>
    </w:p>
    <w:p w14:paraId="61565F58" w14:textId="77777777" w:rsidR="00CC5DED" w:rsidRDefault="00CC5DED"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B355AE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2D00A9">
        <w:rPr>
          <w:rFonts w:ascii="Times New Roman" w:hAnsi="Times New Roman" w:cs="Times New Roman"/>
          <w:sz w:val="24"/>
          <w:szCs w:val="24"/>
        </w:rPr>
        <w:t>novembrī</w:t>
      </w:r>
      <w:r w:rsidR="008A760F">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1760A0">
        <w:rPr>
          <w:rFonts w:ascii="Times New Roman" w:hAnsi="Times New Roman" w:cs="Times New Roman"/>
          <w:b/>
          <w:sz w:val="24"/>
          <w:szCs w:val="24"/>
        </w:rPr>
        <w:t> 5</w:t>
      </w:r>
      <w:r w:rsidR="002D00A9">
        <w:rPr>
          <w:rFonts w:ascii="Times New Roman" w:hAnsi="Times New Roman" w:cs="Times New Roman"/>
          <w:b/>
          <w:sz w:val="24"/>
          <w:szCs w:val="24"/>
        </w:rPr>
        <w:t>73</w:t>
      </w:r>
      <w:r w:rsidR="001760A0">
        <w:rPr>
          <w:rFonts w:ascii="Times New Roman" w:hAnsi="Times New Roman" w:cs="Times New Roman"/>
          <w:b/>
          <w:sz w:val="24"/>
          <w:szCs w:val="24"/>
        </w:rPr>
        <w:t xml:space="preserve"> </w:t>
      </w:r>
      <w:r w:rsidR="002D00A9">
        <w:rPr>
          <w:rFonts w:ascii="Times New Roman" w:hAnsi="Times New Roman" w:cs="Times New Roman"/>
          <w:b/>
          <w:sz w:val="24"/>
          <w:szCs w:val="24"/>
        </w:rPr>
        <w:t>764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46645D9A" w:rsidR="00425CAD" w:rsidRDefault="00BF68D6" w:rsidP="00F23434">
      <w:pPr>
        <w:pStyle w:val="Bezatstarpm"/>
        <w:tabs>
          <w:tab w:val="left" w:pos="1418"/>
        </w:tabs>
        <w:ind w:left="-426" w:right="-105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7E41DA" wp14:editId="47F52C9A">
            <wp:extent cx="6315075" cy="2883126"/>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6847" cy="2888500"/>
                    </a:xfrm>
                    <a:prstGeom prst="rect">
                      <a:avLst/>
                    </a:prstGeom>
                    <a:noFill/>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ED685B2"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2D00A9">
        <w:rPr>
          <w:rFonts w:ascii="Times New Roman" w:hAnsi="Times New Roman" w:cs="Times New Roman"/>
          <w:sz w:val="24"/>
          <w:szCs w:val="24"/>
        </w:rPr>
        <w:t>novembrī</w:t>
      </w:r>
      <w:r w:rsidR="008A760F">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CC5DED">
        <w:rPr>
          <w:rFonts w:ascii="Times New Roman" w:hAnsi="Times New Roman" w:cs="Times New Roman"/>
          <w:b/>
          <w:bCs/>
          <w:sz w:val="24"/>
          <w:szCs w:val="24"/>
        </w:rPr>
        <w:t>1</w:t>
      </w:r>
      <w:r w:rsidR="002D00A9">
        <w:rPr>
          <w:rFonts w:ascii="Times New Roman" w:hAnsi="Times New Roman" w:cs="Times New Roman"/>
          <w:b/>
          <w:bCs/>
          <w:sz w:val="24"/>
          <w:szCs w:val="24"/>
        </w:rPr>
        <w:t> 179 512</w:t>
      </w:r>
      <w:r w:rsidR="00CC5DED">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5B387E2E" w:rsidR="006A6887" w:rsidRDefault="00BF68D6" w:rsidP="00F23434">
      <w:pPr>
        <w:pStyle w:val="Bezatstarpm"/>
        <w:tabs>
          <w:tab w:val="left" w:pos="709"/>
        </w:tabs>
        <w:ind w:left="-426" w:right="-625"/>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2ECBA7" wp14:editId="1E722E81">
            <wp:extent cx="6324484" cy="27432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82" cy="2746582"/>
                    </a:xfrm>
                    <a:prstGeom prst="rect">
                      <a:avLst/>
                    </a:prstGeom>
                    <a:noFill/>
                  </pic:spPr>
                </pic:pic>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1D6EDFAF" w:rsidR="00E4712E" w:rsidRDefault="00E4712E" w:rsidP="003101D7">
      <w:pPr>
        <w:pStyle w:val="Bezatstarpm"/>
        <w:tabs>
          <w:tab w:val="left" w:pos="709"/>
        </w:tabs>
        <w:ind w:right="-625"/>
        <w:jc w:val="center"/>
        <w:rPr>
          <w:rFonts w:ascii="Times New Roman" w:hAnsi="Times New Roman" w:cs="Times New Roman"/>
          <w:sz w:val="24"/>
          <w:szCs w:val="24"/>
        </w:rPr>
      </w:pPr>
    </w:p>
    <w:p w14:paraId="418807BA" w14:textId="408E5CEA" w:rsidR="00BF68D6" w:rsidRDefault="00BF68D6" w:rsidP="003101D7">
      <w:pPr>
        <w:pStyle w:val="Bezatstarpm"/>
        <w:tabs>
          <w:tab w:val="left" w:pos="709"/>
        </w:tabs>
        <w:ind w:right="-625"/>
        <w:jc w:val="center"/>
        <w:rPr>
          <w:rFonts w:ascii="Times New Roman" w:hAnsi="Times New Roman" w:cs="Times New Roman"/>
          <w:sz w:val="24"/>
          <w:szCs w:val="24"/>
        </w:rPr>
      </w:pPr>
    </w:p>
    <w:p w14:paraId="308F537A" w14:textId="77777777" w:rsidR="00BF68D6" w:rsidRDefault="00BF68D6"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1068CF15" w:rsidR="00E4712E" w:rsidRDefault="00E4712E"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779"/>
        <w:gridCol w:w="1223"/>
        <w:gridCol w:w="1234"/>
        <w:gridCol w:w="1242"/>
        <w:gridCol w:w="1296"/>
        <w:gridCol w:w="998"/>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1AB77AFE"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2D00A9">
              <w:rPr>
                <w:rFonts w:ascii="Times New Roman" w:hAnsi="Times New Roman" w:cs="Times New Roman"/>
                <w:b/>
                <w:sz w:val="24"/>
                <w:szCs w:val="24"/>
              </w:rPr>
              <w:t>novembris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07ACF803" w:rsidR="00777336" w:rsidRPr="006D56AD" w:rsidRDefault="008A760F" w:rsidP="008A59AC">
            <w:pPr>
              <w:jc w:val="center"/>
              <w:rPr>
                <w:rFonts w:ascii="Times New Roman" w:hAnsi="Times New Roman" w:cs="Times New Roman"/>
                <w:bCs/>
                <w:sz w:val="24"/>
                <w:szCs w:val="24"/>
              </w:rPr>
            </w:pPr>
            <w:r>
              <w:rPr>
                <w:rFonts w:ascii="Times New Roman" w:hAnsi="Times New Roman" w:cs="Times New Roman"/>
                <w:bCs/>
                <w:sz w:val="24"/>
                <w:szCs w:val="24"/>
              </w:rPr>
              <w:t>5</w:t>
            </w:r>
            <w:r w:rsidR="002D00A9">
              <w:rPr>
                <w:rFonts w:ascii="Times New Roman" w:hAnsi="Times New Roman" w:cs="Times New Roman"/>
                <w:bCs/>
                <w:sz w:val="24"/>
                <w:szCs w:val="24"/>
              </w:rPr>
              <w:t>84</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7DD05259"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2D00A9">
              <w:rPr>
                <w:rFonts w:ascii="Times New Roman" w:hAnsi="Times New Roman" w:cs="Times New Roman"/>
                <w:b/>
                <w:sz w:val="24"/>
                <w:szCs w:val="24"/>
              </w:rPr>
              <w:t>472</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04"/>
        <w:gridCol w:w="1223"/>
        <w:gridCol w:w="1233"/>
        <w:gridCol w:w="1242"/>
        <w:gridCol w:w="1296"/>
        <w:gridCol w:w="998"/>
      </w:tblGrid>
      <w:tr w:rsidR="008A760F" w14:paraId="48CB9F93" w14:textId="77777777" w:rsidTr="008A59AC">
        <w:trPr>
          <w:jc w:val="center"/>
        </w:trPr>
        <w:tc>
          <w:tcPr>
            <w:tcW w:w="2342" w:type="dxa"/>
            <w:vMerge w:val="restart"/>
          </w:tcPr>
          <w:p w14:paraId="4E8DA001" w14:textId="77777777" w:rsidR="008A760F" w:rsidRDefault="008A760F" w:rsidP="008A760F">
            <w:pPr>
              <w:ind w:left="-51"/>
              <w:jc w:val="center"/>
              <w:rPr>
                <w:rFonts w:ascii="Times New Roman" w:hAnsi="Times New Roman" w:cs="Times New Roman"/>
                <w:sz w:val="24"/>
                <w:szCs w:val="24"/>
              </w:rPr>
            </w:pPr>
          </w:p>
          <w:p w14:paraId="2A4038B5" w14:textId="77777777" w:rsidR="008A760F" w:rsidRDefault="008A760F" w:rsidP="008A760F">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57FE208E" w:rsidR="008A760F" w:rsidRPr="000972B1" w:rsidRDefault="002D00A9" w:rsidP="008A760F">
            <w:pPr>
              <w:jc w:val="center"/>
              <w:rPr>
                <w:rFonts w:ascii="Times New Roman" w:hAnsi="Times New Roman" w:cs="Times New Roman"/>
                <w:b/>
                <w:sz w:val="24"/>
                <w:szCs w:val="24"/>
              </w:rPr>
            </w:pPr>
            <w:r>
              <w:rPr>
                <w:rFonts w:ascii="Times New Roman" w:hAnsi="Times New Roman" w:cs="Times New Roman"/>
                <w:b/>
                <w:sz w:val="24"/>
                <w:szCs w:val="24"/>
              </w:rPr>
              <w:t>2021.gada janvāris - novembris</w:t>
            </w:r>
          </w:p>
        </w:tc>
        <w:tc>
          <w:tcPr>
            <w:tcW w:w="1004" w:type="dxa"/>
          </w:tcPr>
          <w:p w14:paraId="24576BB4"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1BCB94B2" w14:textId="77777777" w:rsidTr="008A59AC">
        <w:trPr>
          <w:jc w:val="center"/>
        </w:trPr>
        <w:tc>
          <w:tcPr>
            <w:tcW w:w="2342" w:type="dxa"/>
            <w:vMerge/>
          </w:tcPr>
          <w:p w14:paraId="46B5934F" w14:textId="77777777" w:rsidR="008A760F" w:rsidRDefault="008A760F" w:rsidP="008A760F">
            <w:pPr>
              <w:jc w:val="both"/>
              <w:rPr>
                <w:rFonts w:ascii="Times New Roman" w:hAnsi="Times New Roman" w:cs="Times New Roman"/>
                <w:sz w:val="24"/>
                <w:szCs w:val="24"/>
              </w:rPr>
            </w:pPr>
          </w:p>
        </w:tc>
        <w:tc>
          <w:tcPr>
            <w:tcW w:w="1223" w:type="dxa"/>
          </w:tcPr>
          <w:p w14:paraId="3EE10D6C" w14:textId="77777777" w:rsidR="008A760F" w:rsidRDefault="008A760F" w:rsidP="008A760F">
            <w:pPr>
              <w:jc w:val="center"/>
              <w:rPr>
                <w:rFonts w:ascii="Times New Roman" w:hAnsi="Times New Roman" w:cs="Times New Roman"/>
                <w:sz w:val="24"/>
                <w:szCs w:val="24"/>
              </w:rPr>
            </w:pPr>
          </w:p>
          <w:p w14:paraId="5ACCCC43"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8A760F" w:rsidRDefault="008A760F" w:rsidP="008A760F">
            <w:pPr>
              <w:jc w:val="center"/>
              <w:rPr>
                <w:rFonts w:ascii="Times New Roman" w:hAnsi="Times New Roman" w:cs="Times New Roman"/>
                <w:sz w:val="24"/>
                <w:szCs w:val="24"/>
              </w:rPr>
            </w:pPr>
          </w:p>
          <w:p w14:paraId="0C7635ED"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8A760F" w:rsidRDefault="008A760F" w:rsidP="008A760F">
            <w:pPr>
              <w:jc w:val="center"/>
              <w:rPr>
                <w:rFonts w:ascii="Times New Roman" w:hAnsi="Times New Roman" w:cs="Times New Roman"/>
                <w:b/>
                <w:bCs/>
                <w:sz w:val="24"/>
                <w:szCs w:val="24"/>
              </w:rPr>
            </w:pPr>
          </w:p>
          <w:p w14:paraId="3CE9AF44"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8A760F" w:rsidRDefault="008A760F" w:rsidP="008A760F">
            <w:pPr>
              <w:jc w:val="center"/>
              <w:rPr>
                <w:rFonts w:ascii="Times New Roman" w:hAnsi="Times New Roman" w:cs="Times New Roman"/>
                <w:b/>
                <w:sz w:val="24"/>
                <w:szCs w:val="24"/>
              </w:rPr>
            </w:pPr>
          </w:p>
          <w:p w14:paraId="45B2D14F" w14:textId="507332B4"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1760A0">
              <w:rPr>
                <w:rFonts w:ascii="Times New Roman" w:hAnsi="Times New Roman" w:cs="Times New Roman"/>
                <w:bCs/>
                <w:sz w:val="24"/>
                <w:szCs w:val="24"/>
              </w:rPr>
              <w:t>1</w:t>
            </w:r>
            <w:r w:rsidR="002D00A9">
              <w:rPr>
                <w:rFonts w:ascii="Times New Roman" w:hAnsi="Times New Roman" w:cs="Times New Roman"/>
                <w:bCs/>
                <w:sz w:val="24"/>
                <w:szCs w:val="24"/>
              </w:rPr>
              <w:t>99</w:t>
            </w:r>
          </w:p>
        </w:tc>
        <w:tc>
          <w:tcPr>
            <w:tcW w:w="1004" w:type="dxa"/>
          </w:tcPr>
          <w:p w14:paraId="7814AB06" w14:textId="77777777" w:rsidR="008A760F" w:rsidRDefault="008A760F" w:rsidP="008A760F">
            <w:pPr>
              <w:jc w:val="center"/>
              <w:rPr>
                <w:rFonts w:ascii="Times New Roman" w:hAnsi="Times New Roman" w:cs="Times New Roman"/>
                <w:b/>
                <w:sz w:val="24"/>
                <w:szCs w:val="24"/>
              </w:rPr>
            </w:pPr>
          </w:p>
          <w:p w14:paraId="4BF1F187" w14:textId="2656F4FF"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760A0">
              <w:rPr>
                <w:rFonts w:ascii="Times New Roman" w:hAnsi="Times New Roman" w:cs="Times New Roman"/>
                <w:b/>
                <w:sz w:val="24"/>
                <w:szCs w:val="24"/>
              </w:rPr>
              <w:t xml:space="preserve">2 </w:t>
            </w:r>
            <w:r w:rsidR="002D00A9">
              <w:rPr>
                <w:rFonts w:ascii="Times New Roman" w:hAnsi="Times New Roman" w:cs="Times New Roman"/>
                <w:b/>
                <w:sz w:val="24"/>
                <w:szCs w:val="24"/>
              </w:rPr>
              <w:t>813</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00"/>
        <w:gridCol w:w="1223"/>
        <w:gridCol w:w="1234"/>
        <w:gridCol w:w="1242"/>
        <w:gridCol w:w="1296"/>
        <w:gridCol w:w="1001"/>
      </w:tblGrid>
      <w:tr w:rsidR="008A760F" w14:paraId="7CF9F455" w14:textId="77777777" w:rsidTr="008A59AC">
        <w:trPr>
          <w:jc w:val="center"/>
        </w:trPr>
        <w:tc>
          <w:tcPr>
            <w:tcW w:w="2342" w:type="dxa"/>
            <w:vMerge w:val="restart"/>
          </w:tcPr>
          <w:p w14:paraId="0E643523" w14:textId="77777777" w:rsidR="008A760F" w:rsidRDefault="008A760F" w:rsidP="008A760F">
            <w:pPr>
              <w:ind w:left="-51"/>
              <w:jc w:val="center"/>
              <w:rPr>
                <w:rFonts w:ascii="Times New Roman" w:hAnsi="Times New Roman" w:cs="Times New Roman"/>
                <w:sz w:val="24"/>
                <w:szCs w:val="24"/>
              </w:rPr>
            </w:pPr>
          </w:p>
          <w:p w14:paraId="35573597" w14:textId="77777777" w:rsidR="008A760F" w:rsidRDefault="008A760F" w:rsidP="008A760F">
            <w:pPr>
              <w:ind w:left="-51"/>
              <w:jc w:val="center"/>
              <w:rPr>
                <w:rFonts w:ascii="Times New Roman" w:hAnsi="Times New Roman" w:cs="Times New Roman"/>
                <w:sz w:val="24"/>
                <w:szCs w:val="24"/>
              </w:rPr>
            </w:pPr>
          </w:p>
          <w:p w14:paraId="6DAFAC55" w14:textId="77777777" w:rsidR="008A760F" w:rsidRDefault="008A760F" w:rsidP="008A760F">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1DC3AAED" w:rsidR="008A760F" w:rsidRPr="000972B1" w:rsidRDefault="002D00A9" w:rsidP="008A760F">
            <w:pPr>
              <w:jc w:val="center"/>
              <w:rPr>
                <w:rFonts w:ascii="Times New Roman" w:hAnsi="Times New Roman" w:cs="Times New Roman"/>
                <w:b/>
                <w:sz w:val="24"/>
                <w:szCs w:val="24"/>
              </w:rPr>
            </w:pPr>
            <w:r>
              <w:rPr>
                <w:rFonts w:ascii="Times New Roman" w:hAnsi="Times New Roman" w:cs="Times New Roman"/>
                <w:b/>
                <w:sz w:val="24"/>
                <w:szCs w:val="24"/>
              </w:rPr>
              <w:t>2021.gada janvāris - novembris</w:t>
            </w:r>
          </w:p>
        </w:tc>
        <w:tc>
          <w:tcPr>
            <w:tcW w:w="1004" w:type="dxa"/>
          </w:tcPr>
          <w:p w14:paraId="45482D2D"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4C30E81E" w14:textId="77777777" w:rsidTr="008A59AC">
        <w:trPr>
          <w:jc w:val="center"/>
        </w:trPr>
        <w:tc>
          <w:tcPr>
            <w:tcW w:w="2342" w:type="dxa"/>
            <w:vMerge/>
          </w:tcPr>
          <w:p w14:paraId="1C1F5851" w14:textId="77777777" w:rsidR="008A760F" w:rsidRDefault="008A760F" w:rsidP="008A760F">
            <w:pPr>
              <w:jc w:val="both"/>
              <w:rPr>
                <w:rFonts w:ascii="Times New Roman" w:hAnsi="Times New Roman" w:cs="Times New Roman"/>
                <w:sz w:val="24"/>
                <w:szCs w:val="24"/>
              </w:rPr>
            </w:pPr>
          </w:p>
        </w:tc>
        <w:tc>
          <w:tcPr>
            <w:tcW w:w="1223" w:type="dxa"/>
          </w:tcPr>
          <w:p w14:paraId="798BE394" w14:textId="77777777" w:rsidR="008A760F" w:rsidRPr="006D56AD" w:rsidRDefault="008A760F" w:rsidP="008A760F">
            <w:pPr>
              <w:jc w:val="center"/>
              <w:rPr>
                <w:rFonts w:ascii="Times New Roman" w:hAnsi="Times New Roman" w:cs="Times New Roman"/>
                <w:sz w:val="14"/>
                <w:szCs w:val="14"/>
              </w:rPr>
            </w:pPr>
          </w:p>
          <w:p w14:paraId="06A6A1E6"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8A760F" w:rsidRPr="006D56AD" w:rsidRDefault="008A760F" w:rsidP="008A760F">
            <w:pPr>
              <w:jc w:val="center"/>
              <w:rPr>
                <w:rFonts w:ascii="Times New Roman" w:hAnsi="Times New Roman" w:cs="Times New Roman"/>
                <w:sz w:val="14"/>
                <w:szCs w:val="14"/>
              </w:rPr>
            </w:pPr>
          </w:p>
          <w:p w14:paraId="5A3DF5D1"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8A760F" w:rsidRPr="006D56AD" w:rsidRDefault="008A760F" w:rsidP="008A760F">
            <w:pPr>
              <w:jc w:val="center"/>
              <w:rPr>
                <w:rFonts w:ascii="Times New Roman" w:hAnsi="Times New Roman" w:cs="Times New Roman"/>
                <w:bCs/>
                <w:sz w:val="12"/>
                <w:szCs w:val="12"/>
              </w:rPr>
            </w:pPr>
          </w:p>
          <w:p w14:paraId="6C96E771"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8A760F" w:rsidRPr="006D56AD" w:rsidRDefault="008A760F" w:rsidP="008A760F">
            <w:pPr>
              <w:jc w:val="center"/>
              <w:rPr>
                <w:rFonts w:ascii="Times New Roman" w:hAnsi="Times New Roman" w:cs="Times New Roman"/>
                <w:b/>
                <w:sz w:val="12"/>
                <w:szCs w:val="12"/>
              </w:rPr>
            </w:pPr>
          </w:p>
          <w:p w14:paraId="67746404" w14:textId="607DF737" w:rsidR="008A760F" w:rsidRPr="006D56AD" w:rsidRDefault="002D00A9" w:rsidP="008A760F">
            <w:pPr>
              <w:jc w:val="center"/>
              <w:rPr>
                <w:rFonts w:ascii="Times New Roman" w:hAnsi="Times New Roman" w:cs="Times New Roman"/>
                <w:bCs/>
                <w:sz w:val="24"/>
                <w:szCs w:val="24"/>
              </w:rPr>
            </w:pPr>
            <w:r>
              <w:rPr>
                <w:rFonts w:ascii="Times New Roman" w:hAnsi="Times New Roman" w:cs="Times New Roman"/>
                <w:bCs/>
                <w:sz w:val="24"/>
                <w:szCs w:val="24"/>
              </w:rPr>
              <w:t>2 12</w:t>
            </w:r>
            <w:r w:rsidR="009C4936">
              <w:rPr>
                <w:rFonts w:ascii="Times New Roman" w:hAnsi="Times New Roman" w:cs="Times New Roman"/>
                <w:bCs/>
                <w:sz w:val="24"/>
                <w:szCs w:val="24"/>
              </w:rPr>
              <w:t>4</w:t>
            </w:r>
          </w:p>
        </w:tc>
        <w:tc>
          <w:tcPr>
            <w:tcW w:w="1004" w:type="dxa"/>
          </w:tcPr>
          <w:p w14:paraId="772DEC27" w14:textId="77777777" w:rsidR="008A760F" w:rsidRPr="006D56AD" w:rsidRDefault="008A760F" w:rsidP="008A760F">
            <w:pPr>
              <w:jc w:val="center"/>
              <w:rPr>
                <w:rFonts w:ascii="Times New Roman" w:hAnsi="Times New Roman" w:cs="Times New Roman"/>
                <w:b/>
                <w:sz w:val="12"/>
                <w:szCs w:val="12"/>
              </w:rPr>
            </w:pPr>
          </w:p>
          <w:p w14:paraId="37C99A4A" w14:textId="5679A7EB" w:rsidR="008A760F" w:rsidRPr="000972B1" w:rsidRDefault="009C4936" w:rsidP="008A760F">
            <w:pPr>
              <w:jc w:val="center"/>
              <w:rPr>
                <w:rFonts w:ascii="Times New Roman" w:hAnsi="Times New Roman" w:cs="Times New Roman"/>
                <w:b/>
                <w:sz w:val="24"/>
                <w:szCs w:val="24"/>
              </w:rPr>
            </w:pPr>
            <w:r>
              <w:rPr>
                <w:rFonts w:ascii="Times New Roman" w:hAnsi="Times New Roman" w:cs="Times New Roman"/>
                <w:b/>
                <w:sz w:val="24"/>
                <w:szCs w:val="24"/>
              </w:rPr>
              <w:t>7 109</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23F0B495"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29</w:t>
            </w:r>
          </w:p>
        </w:tc>
        <w:tc>
          <w:tcPr>
            <w:tcW w:w="621" w:type="dxa"/>
          </w:tcPr>
          <w:p w14:paraId="1F05774E" w14:textId="263E41A7"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29</w:t>
            </w:r>
          </w:p>
        </w:tc>
        <w:tc>
          <w:tcPr>
            <w:tcW w:w="602" w:type="dxa"/>
          </w:tcPr>
          <w:p w14:paraId="2FBEB810" w14:textId="20CC89C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27</w:t>
            </w:r>
          </w:p>
        </w:tc>
        <w:tc>
          <w:tcPr>
            <w:tcW w:w="633" w:type="dxa"/>
          </w:tcPr>
          <w:p w14:paraId="42A817A7" w14:textId="6F333A84"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25</w:t>
            </w: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36450F6D" w:rsidR="00792E40" w:rsidRPr="00F82AFB" w:rsidRDefault="008C0B06" w:rsidP="00F87FF5">
            <w:pPr>
              <w:jc w:val="center"/>
              <w:rPr>
                <w:rFonts w:ascii="Times New Roman" w:hAnsi="Times New Roman" w:cs="Times New Roman"/>
                <w:b/>
                <w:sz w:val="24"/>
                <w:szCs w:val="24"/>
              </w:rPr>
            </w:pPr>
            <w:r>
              <w:rPr>
                <w:rFonts w:ascii="Times New Roman" w:hAnsi="Times New Roman" w:cs="Times New Roman"/>
                <w:b/>
                <w:sz w:val="24"/>
                <w:szCs w:val="24"/>
              </w:rPr>
              <w:t>3</w:t>
            </w:r>
            <w:r w:rsidR="009C4936">
              <w:rPr>
                <w:rFonts w:ascii="Times New Roman" w:hAnsi="Times New Roman" w:cs="Times New Roman"/>
                <w:b/>
                <w:sz w:val="24"/>
                <w:szCs w:val="24"/>
              </w:rPr>
              <w:t>41</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644C8993"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7906E413" w14:textId="3D697B7C"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868ACBC" w14:textId="61CF756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02B75748" w14:textId="1B58D0A4"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3</w:t>
            </w: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56CC7650" w:rsidR="00792E40" w:rsidRPr="00F82AFB" w:rsidRDefault="009C4936" w:rsidP="00F87FF5">
            <w:pPr>
              <w:jc w:val="center"/>
              <w:rPr>
                <w:rFonts w:ascii="Times New Roman" w:hAnsi="Times New Roman" w:cs="Times New Roman"/>
                <w:b/>
                <w:sz w:val="24"/>
                <w:szCs w:val="24"/>
              </w:rPr>
            </w:pPr>
            <w:r>
              <w:rPr>
                <w:rFonts w:ascii="Times New Roman" w:hAnsi="Times New Roman" w:cs="Times New Roman"/>
                <w:b/>
                <w:sz w:val="24"/>
                <w:szCs w:val="24"/>
              </w:rPr>
              <w:t>20</w:t>
            </w:r>
          </w:p>
        </w:tc>
      </w:tr>
      <w:tr w:rsidR="00792E40" w:rsidRPr="005C37F9" w14:paraId="66A2B1AB" w14:textId="77777777" w:rsidTr="00F87FF5">
        <w:trPr>
          <w:jc w:val="center"/>
        </w:trPr>
        <w:tc>
          <w:tcPr>
            <w:tcW w:w="3014" w:type="dxa"/>
          </w:tcPr>
          <w:p w14:paraId="7F72E380" w14:textId="245ECAD5"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6746B73F"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29A37A57" w14:textId="12B31965"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1</w:t>
            </w:r>
          </w:p>
        </w:tc>
        <w:tc>
          <w:tcPr>
            <w:tcW w:w="602" w:type="dxa"/>
          </w:tcPr>
          <w:p w14:paraId="7F991CDD" w14:textId="6ED8F5BE"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0</w:t>
            </w:r>
          </w:p>
        </w:tc>
        <w:tc>
          <w:tcPr>
            <w:tcW w:w="633" w:type="dxa"/>
          </w:tcPr>
          <w:p w14:paraId="2FF55282" w14:textId="3948F2A1"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1</w:t>
            </w: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46CDD185"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1</w:t>
            </w:r>
            <w:r w:rsidR="009C4936">
              <w:rPr>
                <w:rFonts w:ascii="Times New Roman" w:hAnsi="Times New Roman" w:cs="Times New Roman"/>
                <w:b/>
                <w:sz w:val="24"/>
                <w:szCs w:val="24"/>
              </w:rPr>
              <w:t>1</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1EF0ECD7"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1020812D" w14:textId="233C5CF2"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8</w:t>
            </w:r>
          </w:p>
        </w:tc>
        <w:tc>
          <w:tcPr>
            <w:tcW w:w="602" w:type="dxa"/>
          </w:tcPr>
          <w:p w14:paraId="4A08423C" w14:textId="145872BC"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9E1DC0D" w14:textId="5574F4A1"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11</w:t>
            </w: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32FE39F9" w:rsidR="00792E40" w:rsidRPr="00F82AFB" w:rsidRDefault="009C4936" w:rsidP="00F87FF5">
            <w:pPr>
              <w:jc w:val="center"/>
              <w:rPr>
                <w:rFonts w:ascii="Times New Roman" w:hAnsi="Times New Roman" w:cs="Times New Roman"/>
                <w:b/>
                <w:sz w:val="24"/>
                <w:szCs w:val="24"/>
              </w:rPr>
            </w:pPr>
            <w:r>
              <w:rPr>
                <w:rFonts w:ascii="Times New Roman" w:hAnsi="Times New Roman" w:cs="Times New Roman"/>
                <w:b/>
                <w:sz w:val="24"/>
                <w:szCs w:val="24"/>
              </w:rPr>
              <w:t>75</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1BBABEBD"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3</w:t>
            </w:r>
          </w:p>
        </w:tc>
        <w:tc>
          <w:tcPr>
            <w:tcW w:w="621" w:type="dxa"/>
          </w:tcPr>
          <w:p w14:paraId="1268591B" w14:textId="5DC66FC0"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482F2465" w14:textId="203661C0" w:rsidR="00792E40" w:rsidRPr="005C37F9" w:rsidRDefault="008C0B06" w:rsidP="00F87FF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3940A63" w14:textId="02D9A97F" w:rsidR="00792E40" w:rsidRPr="005C37F9" w:rsidRDefault="009C4936" w:rsidP="00F87FF5">
            <w:pPr>
              <w:rPr>
                <w:rFonts w:ascii="Times New Roman" w:hAnsi="Times New Roman" w:cs="Times New Roman"/>
                <w:sz w:val="24"/>
                <w:szCs w:val="24"/>
              </w:rPr>
            </w:pPr>
            <w:r>
              <w:rPr>
                <w:rFonts w:ascii="Times New Roman" w:hAnsi="Times New Roman" w:cs="Times New Roman"/>
                <w:sz w:val="24"/>
                <w:szCs w:val="24"/>
              </w:rPr>
              <w:t>2</w:t>
            </w: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2F9C1404" w:rsidR="00792E40" w:rsidRPr="00F82AFB" w:rsidRDefault="008C0B06" w:rsidP="00F87FF5">
            <w:pPr>
              <w:jc w:val="center"/>
              <w:rPr>
                <w:rFonts w:ascii="Times New Roman" w:hAnsi="Times New Roman" w:cs="Times New Roman"/>
                <w:b/>
                <w:sz w:val="24"/>
                <w:szCs w:val="24"/>
              </w:rPr>
            </w:pPr>
            <w:r>
              <w:rPr>
                <w:rFonts w:ascii="Times New Roman" w:hAnsi="Times New Roman" w:cs="Times New Roman"/>
                <w:b/>
                <w:sz w:val="24"/>
                <w:szCs w:val="24"/>
              </w:rPr>
              <w:t>3</w:t>
            </w:r>
            <w:r w:rsidR="009C4936">
              <w:rPr>
                <w:rFonts w:ascii="Times New Roman" w:hAnsi="Times New Roman" w:cs="Times New Roman"/>
                <w:b/>
                <w:sz w:val="24"/>
                <w:szCs w:val="24"/>
              </w:rPr>
              <w:t>3</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2CB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0F6CF3"/>
    <w:rsid w:val="00104DE9"/>
    <w:rsid w:val="001138FA"/>
    <w:rsid w:val="00114B96"/>
    <w:rsid w:val="00122521"/>
    <w:rsid w:val="0012541D"/>
    <w:rsid w:val="00125575"/>
    <w:rsid w:val="00126A38"/>
    <w:rsid w:val="00141E37"/>
    <w:rsid w:val="00153769"/>
    <w:rsid w:val="001554C4"/>
    <w:rsid w:val="001644F5"/>
    <w:rsid w:val="001666BF"/>
    <w:rsid w:val="001710BC"/>
    <w:rsid w:val="0017200F"/>
    <w:rsid w:val="00172E90"/>
    <w:rsid w:val="0017526D"/>
    <w:rsid w:val="001757D3"/>
    <w:rsid w:val="001760A0"/>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0A9"/>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5D27"/>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2CB"/>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275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A760F"/>
    <w:rsid w:val="008B42B1"/>
    <w:rsid w:val="008C0B06"/>
    <w:rsid w:val="008C2C2A"/>
    <w:rsid w:val="008E39EF"/>
    <w:rsid w:val="008E654E"/>
    <w:rsid w:val="008F08FA"/>
    <w:rsid w:val="008F4184"/>
    <w:rsid w:val="00910E1C"/>
    <w:rsid w:val="00912050"/>
    <w:rsid w:val="00914F3C"/>
    <w:rsid w:val="0091665A"/>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2B75"/>
    <w:rsid w:val="009B5346"/>
    <w:rsid w:val="009C4936"/>
    <w:rsid w:val="009D742B"/>
    <w:rsid w:val="009E75D2"/>
    <w:rsid w:val="009E7FDA"/>
    <w:rsid w:val="00A008DD"/>
    <w:rsid w:val="00A07388"/>
    <w:rsid w:val="00A15942"/>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8D6"/>
    <w:rsid w:val="00BF6987"/>
    <w:rsid w:val="00BF7AB0"/>
    <w:rsid w:val="00C00E99"/>
    <w:rsid w:val="00C018C0"/>
    <w:rsid w:val="00C0604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C5DED"/>
    <w:rsid w:val="00CD5936"/>
    <w:rsid w:val="00CE109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343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51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6</Pages>
  <Words>3243</Words>
  <Characters>1850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266</cp:revision>
  <cp:lastPrinted>2021-11-04T13:55:00Z</cp:lastPrinted>
  <dcterms:created xsi:type="dcterms:W3CDTF">2014-02-04T13:39:00Z</dcterms:created>
  <dcterms:modified xsi:type="dcterms:W3CDTF">2021-12-07T12:49:00Z</dcterms:modified>
</cp:coreProperties>
</file>